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882C1" w14:textId="6F75466A" w:rsidR="00B43C2A" w:rsidRDefault="00B43C2A" w:rsidP="00B43C2A">
      <w:pPr>
        <w:pStyle w:val="Header"/>
        <w:rPr>
          <w:rFonts w:eastAsia="MS Mincho"/>
          <w:sz w:val="24"/>
          <w:lang w:val="de-DE"/>
        </w:rPr>
      </w:pPr>
      <w:r>
        <w:rPr>
          <w:rFonts w:eastAsia="MS Mincho"/>
          <w:sz w:val="24"/>
          <w:lang w:val="de-DE"/>
        </w:rPr>
        <w:t>3GPP TSG-RAN WG2 Meeting #125bis</w:t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</w:r>
      <w:r>
        <w:rPr>
          <w:rFonts w:eastAsia="MS Mincho"/>
          <w:sz w:val="24"/>
          <w:lang w:val="de-DE"/>
        </w:rPr>
        <w:tab/>
        <w:t xml:space="preserve">     </w:t>
      </w:r>
      <w:r w:rsidR="00C0144F" w:rsidRPr="00C0144F">
        <w:rPr>
          <w:rFonts w:eastAsia="MS Mincho"/>
          <w:sz w:val="24"/>
          <w:lang w:val="de-DE"/>
        </w:rPr>
        <w:t>R2-2403689</w:t>
      </w:r>
    </w:p>
    <w:p w14:paraId="62ACEF2B" w14:textId="1AEBD50E" w:rsidR="00B43C2A" w:rsidRDefault="00B43C2A" w:rsidP="00B43C2A">
      <w:pPr>
        <w:pStyle w:val="Header"/>
        <w:jc w:val="both"/>
        <w:rPr>
          <w:rFonts w:eastAsia="MS Mincho"/>
          <w:bCs/>
          <w:sz w:val="24"/>
        </w:rPr>
      </w:pPr>
      <w:r>
        <w:rPr>
          <w:rFonts w:eastAsia="MS Mincho"/>
          <w:bCs/>
          <w:sz w:val="24"/>
        </w:rPr>
        <w:t xml:space="preserve">Changsha, China,  </w:t>
      </w:r>
      <w:bookmarkStart w:id="0" w:name="OLE_LINK12"/>
      <w:r>
        <w:rPr>
          <w:rFonts w:eastAsia="MS Mincho"/>
          <w:bCs/>
          <w:sz w:val="24"/>
        </w:rPr>
        <w:t>April 15</w:t>
      </w:r>
      <w:r>
        <w:rPr>
          <w:rFonts w:eastAsia="MS Mincho"/>
          <w:bCs/>
          <w:sz w:val="24"/>
          <w:vertAlign w:val="superscript"/>
        </w:rPr>
        <w:t>th</w:t>
      </w:r>
      <w:r>
        <w:rPr>
          <w:rFonts w:eastAsia="MS Mincho"/>
          <w:bCs/>
          <w:sz w:val="24"/>
        </w:rPr>
        <w:t xml:space="preserve"> – 19</w:t>
      </w:r>
      <w:r>
        <w:rPr>
          <w:rFonts w:eastAsia="MS Mincho"/>
          <w:bCs/>
          <w:sz w:val="24"/>
          <w:vertAlign w:val="superscript"/>
        </w:rPr>
        <w:t>th</w:t>
      </w:r>
      <w:r>
        <w:rPr>
          <w:rFonts w:eastAsia="MS Mincho"/>
          <w:bCs/>
          <w:sz w:val="24"/>
        </w:rPr>
        <w:t>, 2024</w:t>
      </w:r>
      <w:bookmarkEnd w:id="0"/>
    </w:p>
    <w:p w14:paraId="64594CF4" w14:textId="41B7F0DF" w:rsidR="00B43C2A" w:rsidRDefault="00B43C2A" w:rsidP="00B43C2A">
      <w:pPr>
        <w:pStyle w:val="Header"/>
        <w:jc w:val="both"/>
        <w:rPr>
          <w:rFonts w:eastAsia="MS Mincho"/>
          <w:bCs/>
          <w:sz w:val="24"/>
        </w:rPr>
      </w:pPr>
    </w:p>
    <w:p w14:paraId="3BD416BE" w14:textId="77777777" w:rsidR="00B43C2A" w:rsidRDefault="00B43C2A" w:rsidP="00B43C2A">
      <w:pPr>
        <w:pStyle w:val="CRCoverPage"/>
        <w:tabs>
          <w:tab w:val="left" w:pos="1985"/>
        </w:tabs>
        <w:jc w:val="both"/>
        <w:rPr>
          <w:b/>
          <w:bCs/>
          <w:sz w:val="24"/>
          <w:lang w:eastAsia="ja-JP"/>
        </w:rPr>
      </w:pPr>
      <w:r>
        <w:rPr>
          <w:b/>
          <w:bCs/>
          <w:sz w:val="24"/>
        </w:rPr>
        <w:t>Agenda item:</w:t>
      </w:r>
      <w:r>
        <w:rPr>
          <w:b/>
          <w:bCs/>
          <w:sz w:val="24"/>
        </w:rPr>
        <w:tab/>
        <w:t>8.9.2</w:t>
      </w:r>
    </w:p>
    <w:p w14:paraId="52795AAD" w14:textId="6934F14F" w:rsidR="00B43C2A" w:rsidRDefault="00B43C2A" w:rsidP="00B43C2A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eastAsia="en-GB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proofErr w:type="spellStart"/>
      <w:r>
        <w:rPr>
          <w:rFonts w:ascii="Arial" w:hAnsi="Arial" w:cs="Arial"/>
          <w:b/>
          <w:bCs/>
          <w:sz w:val="24"/>
        </w:rPr>
        <w:t>Sateliot</w:t>
      </w:r>
      <w:proofErr w:type="spellEnd"/>
    </w:p>
    <w:p w14:paraId="14988F05" w14:textId="052D2D00" w:rsidR="00B43C2A" w:rsidRDefault="00B43C2A" w:rsidP="00B43C2A">
      <w:pPr>
        <w:ind w:left="1985" w:hanging="1985"/>
        <w:jc w:val="both"/>
        <w:rPr>
          <w:rFonts w:ascii="Arial" w:hAnsi="Arial" w:cs="Arial"/>
          <w:b/>
          <w:bCs/>
          <w:sz w:val="24"/>
          <w:lang w:val="en-US" w:eastAsia="zh-TW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bookmarkStart w:id="1" w:name="OLE_LINK45"/>
      <w:r>
        <w:rPr>
          <w:rFonts w:ascii="Arial" w:hAnsi="Arial" w:cs="Arial"/>
          <w:b/>
          <w:bCs/>
          <w:sz w:val="24"/>
        </w:rPr>
        <w:t>RAN</w:t>
      </w:r>
      <w:r>
        <w:rPr>
          <w:rFonts w:ascii="Arial" w:hAnsi="Arial" w:cs="Arial"/>
          <w:b/>
          <w:bCs/>
          <w:sz w:val="24"/>
        </w:rPr>
        <w:t xml:space="preserve"> aspects of S&amp;F operation for IoT NTN</w:t>
      </w:r>
    </w:p>
    <w:bookmarkEnd w:id="1"/>
    <w:p w14:paraId="3BB36312" w14:textId="77777777" w:rsidR="00B43C2A" w:rsidRDefault="00B43C2A" w:rsidP="00B43C2A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lang w:eastAsia="en-GB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62D8F25E" w14:textId="77777777" w:rsidR="00CC6B01" w:rsidRDefault="00CC6B01">
      <w:pPr>
        <w:jc w:val="both"/>
        <w:rPr>
          <w:rFonts w:ascii="Arial" w:eastAsia="Arial" w:hAnsi="Arial" w:cs="Arial"/>
          <w:i/>
        </w:rPr>
      </w:pPr>
    </w:p>
    <w:p w14:paraId="37D6EE38" w14:textId="31BDDFCF" w:rsidR="00CC6B01" w:rsidRDefault="0038592D">
      <w:pPr>
        <w:pStyle w:val="Heading1"/>
        <w:numPr>
          <w:ilvl w:val="0"/>
          <w:numId w:val="1"/>
        </w:numPr>
      </w:pPr>
      <w:r>
        <w:t>Introduction</w:t>
      </w:r>
    </w:p>
    <w:p w14:paraId="1B6682D7" w14:textId="0ADC8277" w:rsidR="00B43C2A" w:rsidRPr="002655B2" w:rsidRDefault="0001152F" w:rsidP="00B43C2A">
      <w:pPr>
        <w:spacing w:after="0"/>
        <w:rPr>
          <w:rFonts w:eastAsia="SimSun"/>
          <w:bCs/>
          <w:lang w:val="en-US" w:eastAsia="zh-CN"/>
        </w:rPr>
      </w:pPr>
      <w:r w:rsidRPr="002655B2">
        <w:rPr>
          <w:rFonts w:eastAsia="SimSun"/>
          <w:bCs/>
          <w:lang w:eastAsia="zh-CN"/>
        </w:rPr>
        <w:t xml:space="preserve">The support of S&amp;F operation for delay-tolerant services is one of the objectives of </w:t>
      </w:r>
      <w:r w:rsidR="00B43C2A" w:rsidRPr="002655B2">
        <w:rPr>
          <w:rFonts w:eastAsia="SimSun"/>
          <w:bCs/>
          <w:lang w:eastAsia="zh-CN"/>
        </w:rPr>
        <w:t xml:space="preserve">Rel-19 IoT NTN work item </w:t>
      </w:r>
      <w:r w:rsidR="00B43C2A" w:rsidRPr="002655B2">
        <w:rPr>
          <w:rFonts w:eastAsia="SimSun"/>
          <w:bCs/>
          <w:lang w:val="en-US" w:eastAsia="zh-CN"/>
        </w:rPr>
        <w:t>[1]:</w:t>
      </w:r>
    </w:p>
    <w:p w14:paraId="46B6450D" w14:textId="77777777" w:rsidR="00B43C2A" w:rsidRPr="002655B2" w:rsidRDefault="00B43C2A" w:rsidP="00B43C2A">
      <w:pPr>
        <w:spacing w:after="0"/>
        <w:rPr>
          <w:rFonts w:eastAsia="SimSun"/>
          <w:bCs/>
          <w:lang w:val="en-US" w:eastAsia="zh-CN"/>
        </w:rPr>
      </w:pPr>
    </w:p>
    <w:p w14:paraId="5983E07C" w14:textId="77777777" w:rsidR="00B43C2A" w:rsidRPr="002655B2" w:rsidRDefault="00B43C2A" w:rsidP="00B43C2A">
      <w:pPr>
        <w:numPr>
          <w:ilvl w:val="0"/>
          <w:numId w:val="21"/>
        </w:numPr>
        <w:overflowPunct w:val="0"/>
        <w:autoSpaceDE w:val="0"/>
        <w:autoSpaceDN w:val="0"/>
        <w:adjustRightInd w:val="0"/>
        <w:rPr>
          <w:bCs/>
          <w:i/>
          <w:iCs/>
          <w:lang w:eastAsia="en-GB"/>
        </w:rPr>
      </w:pPr>
      <w:r w:rsidRPr="002655B2">
        <w:rPr>
          <w:bCs/>
          <w:i/>
          <w:iCs/>
        </w:rPr>
        <w:t xml:space="preserve">Support of </w:t>
      </w:r>
      <w:bookmarkStart w:id="2" w:name="OLE_LINK13"/>
      <w:proofErr w:type="spellStart"/>
      <w:r w:rsidRPr="002655B2">
        <w:rPr>
          <w:bCs/>
          <w:i/>
          <w:iCs/>
        </w:rPr>
        <w:t>Store&amp;Forward</w:t>
      </w:r>
      <w:proofErr w:type="spellEnd"/>
      <w:r w:rsidRPr="002655B2">
        <w:rPr>
          <w:bCs/>
          <w:i/>
          <w:iCs/>
        </w:rPr>
        <w:t xml:space="preserve"> (S&amp;F)</w:t>
      </w:r>
      <w:bookmarkEnd w:id="2"/>
      <w:r w:rsidRPr="002655B2">
        <w:rPr>
          <w:bCs/>
          <w:i/>
          <w:iCs/>
        </w:rPr>
        <w:t xml:space="preserve"> satellite operation with full </w:t>
      </w:r>
      <w:proofErr w:type="spellStart"/>
      <w:r w:rsidRPr="002655B2">
        <w:rPr>
          <w:bCs/>
          <w:i/>
          <w:iCs/>
        </w:rPr>
        <w:t>eNB</w:t>
      </w:r>
      <w:proofErr w:type="spellEnd"/>
      <w:r w:rsidRPr="002655B2">
        <w:rPr>
          <w:bCs/>
          <w:i/>
          <w:iCs/>
        </w:rPr>
        <w:t xml:space="preserve"> as regenerative payload, therefore:</w:t>
      </w:r>
    </w:p>
    <w:p w14:paraId="3347C9F1" w14:textId="77777777" w:rsidR="00B43C2A" w:rsidRPr="002655B2" w:rsidRDefault="00B43C2A" w:rsidP="00B43C2A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after="0"/>
        <w:rPr>
          <w:bCs/>
          <w:i/>
          <w:iCs/>
        </w:rPr>
      </w:pPr>
      <w:r w:rsidRPr="002655B2">
        <w:rPr>
          <w:bCs/>
          <w:i/>
          <w:iCs/>
        </w:rPr>
        <w:t>Define the necessary enhancements into E-UTRAN (network &amp; UE) to support S&amp;F operation for delay-tolerant services [RAN3, RAN2]</w:t>
      </w:r>
    </w:p>
    <w:p w14:paraId="641AF4AC" w14:textId="77777777" w:rsidR="00B43C2A" w:rsidRPr="002655B2" w:rsidRDefault="00B43C2A" w:rsidP="00B43C2A">
      <w:pPr>
        <w:numPr>
          <w:ilvl w:val="2"/>
          <w:numId w:val="21"/>
        </w:numPr>
        <w:overflowPunct w:val="0"/>
        <w:autoSpaceDE w:val="0"/>
        <w:autoSpaceDN w:val="0"/>
        <w:adjustRightInd w:val="0"/>
        <w:spacing w:after="0"/>
        <w:rPr>
          <w:bCs/>
          <w:i/>
          <w:iCs/>
        </w:rPr>
      </w:pPr>
      <w:r w:rsidRPr="002655B2">
        <w:rPr>
          <w:bCs/>
          <w:i/>
          <w:iCs/>
        </w:rPr>
        <w:t xml:space="preserve">At least specify necessary enhancements </w:t>
      </w:r>
      <w:proofErr w:type="gramStart"/>
      <w:r w:rsidRPr="002655B2">
        <w:rPr>
          <w:bCs/>
          <w:i/>
          <w:iCs/>
        </w:rPr>
        <w:t>e.g.</w:t>
      </w:r>
      <w:proofErr w:type="gramEnd"/>
      <w:r w:rsidRPr="002655B2">
        <w:rPr>
          <w:bCs/>
          <w:i/>
          <w:iCs/>
        </w:rPr>
        <w:t xml:space="preserve"> related to S1 protocol, especially to address the feeder link switch over as needed [RAN3]</w:t>
      </w:r>
    </w:p>
    <w:p w14:paraId="79294751" w14:textId="77777777" w:rsidR="00B43C2A" w:rsidRPr="002655B2" w:rsidRDefault="00B43C2A" w:rsidP="00B43C2A">
      <w:pPr>
        <w:spacing w:after="0"/>
        <w:rPr>
          <w:bCs/>
          <w:i/>
          <w:iCs/>
        </w:rPr>
      </w:pPr>
    </w:p>
    <w:p w14:paraId="3FA1F0A7" w14:textId="77777777" w:rsidR="00B43C2A" w:rsidRPr="002655B2" w:rsidRDefault="00B43C2A" w:rsidP="00B43C2A">
      <w:pPr>
        <w:spacing w:after="0"/>
        <w:ind w:left="720"/>
        <w:rPr>
          <w:bCs/>
          <w:i/>
          <w:iCs/>
        </w:rPr>
      </w:pPr>
      <w:r w:rsidRPr="002655B2">
        <w:rPr>
          <w:bCs/>
          <w:i/>
          <w:iCs/>
        </w:rPr>
        <w:t>Note: Strive to minimise UE impact.</w:t>
      </w:r>
    </w:p>
    <w:p w14:paraId="429A04D1" w14:textId="77777777" w:rsidR="00B43C2A" w:rsidRPr="002655B2" w:rsidRDefault="00B43C2A" w:rsidP="00B43C2A">
      <w:pPr>
        <w:spacing w:after="0"/>
        <w:rPr>
          <w:bCs/>
          <w:i/>
          <w:iCs/>
        </w:rPr>
      </w:pPr>
    </w:p>
    <w:p w14:paraId="29B7B113" w14:textId="77777777" w:rsidR="00B43C2A" w:rsidRPr="002655B2" w:rsidRDefault="00B43C2A" w:rsidP="00B43C2A">
      <w:pPr>
        <w:spacing w:after="0"/>
        <w:ind w:left="720"/>
        <w:rPr>
          <w:bCs/>
          <w:i/>
          <w:iCs/>
        </w:rPr>
      </w:pPr>
      <w:r w:rsidRPr="002655B2">
        <w:rPr>
          <w:bCs/>
          <w:i/>
          <w:iCs/>
        </w:rPr>
        <w:t>Note: Coordination with SA2 (Rel-19 SA2 led Sat-Arch ph3 SI) is needed on the detail requirements (</w:t>
      </w:r>
      <w:proofErr w:type="gramStart"/>
      <w:r w:rsidRPr="002655B2">
        <w:rPr>
          <w:bCs/>
          <w:i/>
          <w:iCs/>
        </w:rPr>
        <w:t>e.g.</w:t>
      </w:r>
      <w:proofErr w:type="gramEnd"/>
      <w:r w:rsidRPr="002655B2">
        <w:rPr>
          <w:bCs/>
          <w:i/>
          <w:iCs/>
        </w:rPr>
        <w:t xml:space="preserve"> traffic type, or QoS parameters for S&amp;F), network architecture (e.g. whether consider (partial) core network on satellite) etc.; further coordination with CT1 might be required</w:t>
      </w:r>
    </w:p>
    <w:p w14:paraId="0710F601" w14:textId="4885B48B" w:rsidR="00B43C2A" w:rsidRPr="002655B2" w:rsidRDefault="00B43C2A" w:rsidP="00B43C2A">
      <w:pPr>
        <w:spacing w:after="0"/>
        <w:rPr>
          <w:bCs/>
        </w:rPr>
      </w:pPr>
    </w:p>
    <w:p w14:paraId="4C6C23DE" w14:textId="37ACA273" w:rsidR="0001152F" w:rsidRPr="002655B2" w:rsidRDefault="0001152F" w:rsidP="00B43C2A">
      <w:pPr>
        <w:spacing w:after="0"/>
        <w:rPr>
          <w:bCs/>
        </w:rPr>
      </w:pPr>
      <w:r w:rsidRPr="002655B2">
        <w:rPr>
          <w:bCs/>
        </w:rPr>
        <w:t>In parallel, support of S&amp;F is being addressed at SA2 under FS_</w:t>
      </w:r>
      <w:r w:rsidR="002655B2" w:rsidRPr="002655B2">
        <w:t xml:space="preserve"> </w:t>
      </w:r>
      <w:r w:rsidR="002655B2" w:rsidRPr="002655B2">
        <w:rPr>
          <w:bCs/>
        </w:rPr>
        <w:t>FS_5GSAT_ARCH_Ph3</w:t>
      </w:r>
      <w:r w:rsidR="002655B2">
        <w:rPr>
          <w:bCs/>
        </w:rPr>
        <w:t xml:space="preserve"> [2]</w:t>
      </w:r>
      <w:r w:rsidRPr="002655B2">
        <w:rPr>
          <w:bCs/>
        </w:rPr>
        <w:t xml:space="preserve">. The study item is expected to be finalized by </w:t>
      </w:r>
      <w:r w:rsidR="002655B2" w:rsidRPr="002655B2">
        <w:rPr>
          <w:bCs/>
        </w:rPr>
        <w:t>TSG #104 (June 2024)</w:t>
      </w:r>
      <w:r w:rsidRPr="002655B2">
        <w:rPr>
          <w:bCs/>
        </w:rPr>
        <w:t xml:space="preserve">. </w:t>
      </w:r>
    </w:p>
    <w:p w14:paraId="48BF3AD0" w14:textId="77777777" w:rsidR="0001152F" w:rsidRPr="002655B2" w:rsidRDefault="0001152F" w:rsidP="00B43C2A">
      <w:pPr>
        <w:spacing w:after="0"/>
        <w:rPr>
          <w:bCs/>
        </w:rPr>
      </w:pPr>
    </w:p>
    <w:p w14:paraId="2F4B0CEE" w14:textId="0D672B4F" w:rsidR="0001152F" w:rsidRPr="002655B2" w:rsidRDefault="00B43C2A" w:rsidP="00B43C2A">
      <w:pPr>
        <w:spacing w:before="120" w:after="120"/>
        <w:jc w:val="both"/>
      </w:pPr>
      <w:r w:rsidRPr="002655B2">
        <w:t xml:space="preserve">In this contribution, we share our view on </w:t>
      </w:r>
      <w:r w:rsidR="0001152F" w:rsidRPr="002655B2">
        <w:t xml:space="preserve">the possible impacts that </w:t>
      </w:r>
      <w:r w:rsidRPr="002655B2">
        <w:t xml:space="preserve">S&amp;F </w:t>
      </w:r>
      <w:r w:rsidR="0001152F" w:rsidRPr="002655B2">
        <w:t xml:space="preserve">operation can have on the radio interface. </w:t>
      </w:r>
    </w:p>
    <w:p w14:paraId="1C3436E1" w14:textId="77777777" w:rsidR="00CC6B01" w:rsidRDefault="00CC6B01">
      <w:pPr>
        <w:jc w:val="both"/>
      </w:pPr>
    </w:p>
    <w:p w14:paraId="1A2A20F8" w14:textId="449FA014" w:rsidR="00CC6B01" w:rsidRDefault="00B43C2A">
      <w:pPr>
        <w:pStyle w:val="Heading1"/>
        <w:numPr>
          <w:ilvl w:val="0"/>
          <w:numId w:val="1"/>
        </w:numPr>
      </w:pPr>
      <w:r>
        <w:t>Discussion</w:t>
      </w:r>
    </w:p>
    <w:p w14:paraId="03791427" w14:textId="71A0913C" w:rsidR="0058528C" w:rsidRDefault="0058528C" w:rsidP="0001152F">
      <w:pPr>
        <w:jc w:val="both"/>
      </w:pPr>
      <w:r>
        <w:t xml:space="preserve">Some discussion on potential RAN impact is provided on our </w:t>
      </w:r>
      <w:r w:rsidR="0001152F">
        <w:t xml:space="preserve">discussion paper submitted to </w:t>
      </w:r>
      <w:r w:rsidR="0001152F">
        <w:t>SA2#160</w:t>
      </w:r>
      <w:r w:rsidR="0001152F">
        <w:t xml:space="preserve"> (</w:t>
      </w:r>
      <w:hyperlink r:id="rId8">
        <w:r w:rsidR="0001152F">
          <w:rPr>
            <w:color w:val="1155CC"/>
            <w:u w:val="single"/>
          </w:rPr>
          <w:t>S2-2313155</w:t>
        </w:r>
      </w:hyperlink>
      <w:r w:rsidR="0001152F">
        <w:t>, [</w:t>
      </w:r>
      <w:r w:rsidR="002655B2">
        <w:t>3</w:t>
      </w:r>
      <w:r w:rsidR="0001152F">
        <w:t>])</w:t>
      </w:r>
      <w:r>
        <w:t xml:space="preserve">. Such contribution </w:t>
      </w:r>
      <w:r w:rsidR="00162EEE" w:rsidRPr="00162EEE">
        <w:t>outline</w:t>
      </w:r>
      <w:r w:rsidR="00162EEE">
        <w:t>s</w:t>
      </w:r>
      <w:r w:rsidR="00162EEE" w:rsidRPr="00162EEE">
        <w:t xml:space="preserve"> a general framework in terms of architecture and potential solution elements for the realization of S&amp;F operation in multi-satellite IoT NTN deployments.</w:t>
      </w:r>
    </w:p>
    <w:p w14:paraId="48F24FA5" w14:textId="003483B6" w:rsidR="0058528C" w:rsidRDefault="0058528C" w:rsidP="0001152F">
      <w:pPr>
        <w:jc w:val="both"/>
      </w:pPr>
      <w:r>
        <w:t xml:space="preserve">Assuming an architecture with full </w:t>
      </w:r>
      <w:proofErr w:type="spellStart"/>
      <w:r>
        <w:t>eNB</w:t>
      </w:r>
      <w:proofErr w:type="spellEnd"/>
      <w:r>
        <w:t xml:space="preserve"> on board the satellite, it’s our view that support for S&amp;F </w:t>
      </w:r>
      <w:r w:rsidR="002704E3">
        <w:t>can be introduced with</w:t>
      </w:r>
      <w:r>
        <w:t xml:space="preserve"> a minimum impact on the RAN functions excepting the broadcasting of system information (SI) intended to advertise UEs </w:t>
      </w:r>
      <w:r w:rsidRPr="0058528C">
        <w:rPr>
          <w:u w:val="single"/>
        </w:rPr>
        <w:t>whether</w:t>
      </w:r>
      <w:r>
        <w:t xml:space="preserve"> the network is operating in S&amp;F mode or </w:t>
      </w:r>
      <w:r w:rsidR="00161FCA">
        <w:t xml:space="preserve">in </w:t>
      </w:r>
      <w:r>
        <w:t>normal (default) mode.</w:t>
      </w:r>
      <w:r w:rsidR="002704E3">
        <w:t xml:space="preserve"> </w:t>
      </w:r>
    </w:p>
    <w:p w14:paraId="2984C9ED" w14:textId="6A717AA8" w:rsidR="00161FCA" w:rsidRDefault="00161FCA" w:rsidP="00161FCA">
      <w:pPr>
        <w:jc w:val="both"/>
      </w:pPr>
      <w:r w:rsidRPr="00161FCA">
        <w:rPr>
          <w:b/>
          <w:bCs/>
        </w:rPr>
        <w:t>Observation#1.</w:t>
      </w:r>
      <w:r>
        <w:t xml:space="preserve"> </w:t>
      </w:r>
      <w:r>
        <w:t xml:space="preserve">Assuming an architecture with full </w:t>
      </w:r>
      <w:proofErr w:type="spellStart"/>
      <w:r>
        <w:t>eNB</w:t>
      </w:r>
      <w:proofErr w:type="spellEnd"/>
      <w:r>
        <w:t xml:space="preserve"> on board the satellite, it’s our view that support for S&amp;F can be introduced with a minimum impact on the RAN functions excepting the broadcasting of system information (SI) intended to advertise UEs </w:t>
      </w:r>
      <w:r w:rsidRPr="0058528C">
        <w:rPr>
          <w:u w:val="single"/>
        </w:rPr>
        <w:t>whether</w:t>
      </w:r>
      <w:r>
        <w:t xml:space="preserve"> the network is operating in S&amp;F mode or </w:t>
      </w:r>
      <w:r>
        <w:t xml:space="preserve">in </w:t>
      </w:r>
      <w:r>
        <w:t xml:space="preserve">normal (default) mode. </w:t>
      </w:r>
    </w:p>
    <w:p w14:paraId="14A51DDD" w14:textId="059FA0DD" w:rsidR="002704E3" w:rsidRDefault="0058528C" w:rsidP="0001152F">
      <w:pPr>
        <w:jc w:val="both"/>
      </w:pPr>
      <w:r>
        <w:t xml:space="preserve">In this respect, it is important to consider that a </w:t>
      </w:r>
      <w:r w:rsidR="00162EEE">
        <w:t xml:space="preserve">given </w:t>
      </w:r>
      <w:r>
        <w:t>satellite cell</w:t>
      </w:r>
      <w:r w:rsidR="00162EEE">
        <w:t xml:space="preserve"> </w:t>
      </w:r>
      <w:r w:rsidR="00573C63">
        <w:t>could</w:t>
      </w:r>
      <w:r w:rsidR="00162EEE">
        <w:t xml:space="preserve"> be alternating between S&amp;F and normal operation mode during an orbit. For instance, consider the case of </w:t>
      </w:r>
      <w:r w:rsidR="002704E3">
        <w:t>an</w:t>
      </w:r>
      <w:r w:rsidR="00162EEE">
        <w:t xml:space="preserve"> Earth-moving satellite cell in a NGSO constellation such as the one depicted in Figure 1. Such a satellite cell will have to be operated necessarily in S&amp;F mode </w:t>
      </w:r>
      <w:r w:rsidR="002655B2">
        <w:t>when flying over</w:t>
      </w:r>
      <w:r w:rsidR="00162EEE">
        <w:t xml:space="preserve"> service areas </w:t>
      </w:r>
      <w:r w:rsidR="002655B2">
        <w:t xml:space="preserve">in which </w:t>
      </w:r>
      <w:r w:rsidR="00162EEE">
        <w:t xml:space="preserve">the satellite </w:t>
      </w:r>
      <w:r w:rsidR="00161FCA">
        <w:t xml:space="preserve">is or cannot be </w:t>
      </w:r>
      <w:r w:rsidR="00162EEE">
        <w:t>connected to the ground network. But the same satellite cell may be operat</w:t>
      </w:r>
      <w:r w:rsidR="002655B2">
        <w:t>ed</w:t>
      </w:r>
      <w:r w:rsidR="00162EEE">
        <w:t xml:space="preserve"> in normal</w:t>
      </w:r>
      <w:r w:rsidR="002655B2">
        <w:t>/default</w:t>
      </w:r>
      <w:r w:rsidR="00162EEE">
        <w:t xml:space="preserve"> mode in </w:t>
      </w:r>
      <w:r w:rsidR="002655B2">
        <w:t xml:space="preserve">other service </w:t>
      </w:r>
      <w:r w:rsidR="00162EEE">
        <w:t xml:space="preserve">areas </w:t>
      </w:r>
      <w:r w:rsidR="002655B2">
        <w:t>if</w:t>
      </w:r>
      <w:r w:rsidR="00162EEE">
        <w:t xml:space="preserve"> a feeder link is available. </w:t>
      </w:r>
    </w:p>
    <w:p w14:paraId="565BAB84" w14:textId="15CFC18B" w:rsidR="00161FCA" w:rsidRDefault="00161FCA" w:rsidP="0001152F">
      <w:pPr>
        <w:jc w:val="both"/>
      </w:pPr>
    </w:p>
    <w:p w14:paraId="5E40BC20" w14:textId="77777777" w:rsidR="00161FCA" w:rsidRDefault="00161FCA" w:rsidP="0001152F">
      <w:pPr>
        <w:jc w:val="both"/>
      </w:pPr>
    </w:p>
    <w:p w14:paraId="798F9E26" w14:textId="4688B250" w:rsidR="00161FCA" w:rsidRDefault="00161FCA" w:rsidP="0001152F">
      <w:pPr>
        <w:jc w:val="both"/>
        <w:rPr>
          <w:b/>
          <w:bCs/>
        </w:rPr>
      </w:pPr>
      <w:r w:rsidRPr="00161FCA">
        <w:lastRenderedPageBreak/>
        <w:drawing>
          <wp:inline distT="0" distB="0" distL="0" distR="0" wp14:anchorId="4063B2BD" wp14:editId="2676BCFE">
            <wp:extent cx="6120130" cy="33775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7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ABF9A" w14:textId="12DDE8DE" w:rsidR="00161FCA" w:rsidRPr="00161FCA" w:rsidRDefault="00161FCA" w:rsidP="00161FCA">
      <w:pPr>
        <w:jc w:val="center"/>
      </w:pPr>
      <w:r w:rsidRPr="00161FCA">
        <w:t xml:space="preserve">Figure 1. Illustration of </w:t>
      </w:r>
      <w:proofErr w:type="gramStart"/>
      <w:r w:rsidRPr="00161FCA">
        <w:t>a</w:t>
      </w:r>
      <w:proofErr w:type="gramEnd"/>
      <w:r w:rsidRPr="00161FCA">
        <w:t xml:space="preserve"> Earth-moving satellite cell operating switching operation between “normal/default” and “S&amp;F” operation modes.</w:t>
      </w:r>
    </w:p>
    <w:p w14:paraId="648F0D0C" w14:textId="77777777" w:rsidR="00161FCA" w:rsidRDefault="00161FCA" w:rsidP="0001152F">
      <w:pPr>
        <w:jc w:val="both"/>
        <w:rPr>
          <w:b/>
          <w:bCs/>
        </w:rPr>
      </w:pPr>
    </w:p>
    <w:p w14:paraId="20A17C13" w14:textId="10353716" w:rsidR="00162EEE" w:rsidRDefault="00162EEE" w:rsidP="0001152F">
      <w:pPr>
        <w:jc w:val="both"/>
      </w:pPr>
      <w:r w:rsidRPr="002655B2">
        <w:rPr>
          <w:b/>
          <w:bCs/>
        </w:rPr>
        <w:t>Proposal#1.</w:t>
      </w:r>
      <w:r>
        <w:t xml:space="preserve"> </w:t>
      </w:r>
      <w:r w:rsidR="002704E3" w:rsidRPr="002704E3">
        <w:t xml:space="preserve">The information indicating </w:t>
      </w:r>
      <w:r w:rsidR="002704E3">
        <w:t>whether</w:t>
      </w:r>
      <w:r w:rsidR="002655B2">
        <w:t>/</w:t>
      </w:r>
      <w:r w:rsidR="002704E3">
        <w:t>when</w:t>
      </w:r>
      <w:r w:rsidR="002704E3" w:rsidRPr="002704E3">
        <w:t xml:space="preserve"> </w:t>
      </w:r>
      <w:r w:rsidR="002655B2">
        <w:t>a satellite cell is operating in S&amp;F</w:t>
      </w:r>
      <w:r w:rsidR="002704E3" w:rsidRPr="002704E3">
        <w:t xml:space="preserve"> mode </w:t>
      </w:r>
      <w:r w:rsidR="002655B2">
        <w:t>or normal/default mode</w:t>
      </w:r>
      <w:r w:rsidR="002704E3">
        <w:t xml:space="preserve"> should </w:t>
      </w:r>
      <w:r w:rsidR="002704E3" w:rsidRPr="002704E3">
        <w:t>be broadcasted via system information.</w:t>
      </w:r>
    </w:p>
    <w:p w14:paraId="1CCC28AD" w14:textId="1FD018C4" w:rsidR="0058528C" w:rsidRDefault="00161FCA" w:rsidP="0001152F">
      <w:pPr>
        <w:jc w:val="both"/>
      </w:pPr>
      <w:r>
        <w:t xml:space="preserve">More details on the above proposal can be found in our previous contribution </w:t>
      </w:r>
      <w:hyperlink r:id="rId10" w:history="1">
        <w:r>
          <w:rPr>
            <w:rStyle w:val="Hyperlink"/>
            <w:rFonts w:ascii="Arial" w:hAnsi="Arial" w:cs="Arial"/>
            <w:color w:val="0097A7"/>
            <w:sz w:val="18"/>
            <w:szCs w:val="18"/>
          </w:rPr>
          <w:t>R2-2301886</w:t>
        </w:r>
      </w:hyperlink>
      <w:r>
        <w:t xml:space="preserve"> [4], </w:t>
      </w:r>
      <w:r w:rsidR="002655B2">
        <w:t>submitted to RAN</w:t>
      </w:r>
      <w:r>
        <w:t>2#121 in March 2023.</w:t>
      </w:r>
    </w:p>
    <w:p w14:paraId="09DE5FE3" w14:textId="77777777" w:rsidR="00161FCA" w:rsidRDefault="00161FCA" w:rsidP="0001152F">
      <w:pPr>
        <w:jc w:val="both"/>
      </w:pPr>
    </w:p>
    <w:p w14:paraId="21C02C0E" w14:textId="3BB74DF9" w:rsidR="002704E3" w:rsidRDefault="002704E3" w:rsidP="002704E3">
      <w:pPr>
        <w:pStyle w:val="Heading1"/>
        <w:numPr>
          <w:ilvl w:val="0"/>
          <w:numId w:val="1"/>
        </w:numPr>
      </w:pPr>
      <w:r>
        <w:t>Conclusion</w:t>
      </w:r>
    </w:p>
    <w:p w14:paraId="5762E874" w14:textId="77777777" w:rsidR="00161FCA" w:rsidRDefault="00161FCA" w:rsidP="00161FCA">
      <w:pPr>
        <w:jc w:val="both"/>
      </w:pPr>
      <w:r w:rsidRPr="00161FCA">
        <w:rPr>
          <w:b/>
          <w:bCs/>
        </w:rPr>
        <w:t>Observation#1.</w:t>
      </w:r>
      <w:r>
        <w:t xml:space="preserve"> Assuming an architecture with full </w:t>
      </w:r>
      <w:proofErr w:type="spellStart"/>
      <w:r>
        <w:t>eNB</w:t>
      </w:r>
      <w:proofErr w:type="spellEnd"/>
      <w:r>
        <w:t xml:space="preserve"> on board the satellite, it’s our view that support for S&amp;F can be introduced with a minimum impact on the RAN functions excepting the broadcasting of system information (SI) intended to advertise UEs </w:t>
      </w:r>
      <w:r w:rsidRPr="00161FCA">
        <w:rPr>
          <w:u w:val="single"/>
        </w:rPr>
        <w:t>whether</w:t>
      </w:r>
      <w:r>
        <w:t xml:space="preserve"> the network is operating in S&amp;F mode or normal (default) mode. </w:t>
      </w:r>
    </w:p>
    <w:p w14:paraId="6E350C27" w14:textId="57D78E67" w:rsidR="00161FCA" w:rsidRDefault="00161FCA" w:rsidP="00161FCA">
      <w:pPr>
        <w:jc w:val="both"/>
      </w:pPr>
      <w:r w:rsidRPr="00161FCA">
        <w:rPr>
          <w:b/>
          <w:bCs/>
        </w:rPr>
        <w:t>Proposal#1.</w:t>
      </w:r>
      <w:r>
        <w:t xml:space="preserve"> </w:t>
      </w:r>
      <w:r w:rsidRPr="002704E3">
        <w:t xml:space="preserve">The information indicating </w:t>
      </w:r>
      <w:r>
        <w:t>whether/when</w:t>
      </w:r>
      <w:r w:rsidRPr="002704E3">
        <w:t xml:space="preserve"> </w:t>
      </w:r>
      <w:r>
        <w:t>a satellite cell is operating in S&amp;F</w:t>
      </w:r>
      <w:r w:rsidRPr="002704E3">
        <w:t xml:space="preserve"> mode </w:t>
      </w:r>
      <w:r>
        <w:t xml:space="preserve">or normal/default mode should </w:t>
      </w:r>
      <w:r w:rsidRPr="002704E3">
        <w:t>be broadcasted via system information.</w:t>
      </w:r>
    </w:p>
    <w:p w14:paraId="0D8B8643" w14:textId="3CAA7003" w:rsidR="00B43C2A" w:rsidRDefault="00B43C2A" w:rsidP="00B43C2A"/>
    <w:p w14:paraId="101C1DBA" w14:textId="77777777" w:rsidR="00B43C2A" w:rsidRPr="00B43C2A" w:rsidRDefault="00B43C2A" w:rsidP="00B43C2A">
      <w:pPr>
        <w:pStyle w:val="Heading1"/>
        <w:numPr>
          <w:ilvl w:val="0"/>
          <w:numId w:val="1"/>
        </w:numPr>
      </w:pPr>
      <w:r w:rsidRPr="00B43C2A">
        <w:t>References</w:t>
      </w:r>
    </w:p>
    <w:p w14:paraId="21AD2736" w14:textId="77777777" w:rsidR="00B43C2A" w:rsidRPr="00161FCA" w:rsidRDefault="00B43C2A" w:rsidP="00B43C2A">
      <w:pPr>
        <w:spacing w:after="60"/>
        <w:rPr>
          <w:lang w:eastAsia="ko-KR"/>
        </w:rPr>
      </w:pPr>
      <w:bookmarkStart w:id="3" w:name="OLE_LINK23"/>
      <w:r w:rsidRPr="00161FCA">
        <w:rPr>
          <w:lang w:eastAsia="ko-KR"/>
        </w:rPr>
        <w:t xml:space="preserve">[1] </w:t>
      </w:r>
      <w:bookmarkStart w:id="4" w:name="OLE_LINK11"/>
      <w:r w:rsidRPr="00161FCA">
        <w:rPr>
          <w:lang w:eastAsia="ko-KR"/>
        </w:rPr>
        <w:t>RP-240776</w:t>
      </w:r>
      <w:bookmarkEnd w:id="4"/>
      <w:r w:rsidRPr="00161FCA">
        <w:rPr>
          <w:lang w:eastAsia="ko-KR"/>
        </w:rPr>
        <w:t>, “Revised WID on Non-Terrestrial Networks (NTN) for Internet of Things (IoT) Phase 3”, Rapporteur (MediaTek)</w:t>
      </w:r>
      <w:bookmarkEnd w:id="3"/>
    </w:p>
    <w:p w14:paraId="2D3EF8CA" w14:textId="4DE8FF2E" w:rsidR="002655B2" w:rsidRPr="00161FCA" w:rsidRDefault="002655B2" w:rsidP="002655B2">
      <w:pPr>
        <w:spacing w:after="60"/>
        <w:rPr>
          <w:lang w:eastAsia="ko-KR"/>
        </w:rPr>
      </w:pPr>
      <w:r w:rsidRPr="00161FCA">
        <w:rPr>
          <w:lang w:eastAsia="ko-KR"/>
        </w:rPr>
        <w:t>[</w:t>
      </w:r>
      <w:r w:rsidRPr="00161FCA">
        <w:rPr>
          <w:lang w:eastAsia="ko-KR"/>
        </w:rPr>
        <w:t>2</w:t>
      </w:r>
      <w:r w:rsidRPr="00161FCA">
        <w:rPr>
          <w:lang w:eastAsia="ko-KR"/>
        </w:rPr>
        <w:t xml:space="preserve">] </w:t>
      </w:r>
      <w:r w:rsidRPr="00161FCA">
        <w:rPr>
          <w:lang w:eastAsia="ko-KR"/>
        </w:rPr>
        <w:t>S</w:t>
      </w:r>
      <w:r w:rsidRPr="00161FCA">
        <w:rPr>
          <w:lang w:eastAsia="ko-KR"/>
        </w:rPr>
        <w:t>P-2</w:t>
      </w:r>
      <w:r w:rsidRPr="00161FCA">
        <w:rPr>
          <w:lang w:eastAsia="ko-KR"/>
        </w:rPr>
        <w:t>31199</w:t>
      </w:r>
      <w:r w:rsidRPr="00161FCA">
        <w:rPr>
          <w:lang w:eastAsia="ko-KR"/>
        </w:rPr>
        <w:t>, “New SID on Study on Integration of satellite components in the 5G architecture Phase III”, Rapporteur (</w:t>
      </w:r>
      <w:r w:rsidRPr="00161FCA">
        <w:rPr>
          <w:lang w:eastAsia="ko-KR"/>
        </w:rPr>
        <w:t>Thales</w:t>
      </w:r>
      <w:r w:rsidRPr="00161FCA">
        <w:rPr>
          <w:lang w:eastAsia="ko-KR"/>
        </w:rPr>
        <w:t>)</w:t>
      </w:r>
    </w:p>
    <w:p w14:paraId="7E927747" w14:textId="70E69DF5" w:rsidR="002655B2" w:rsidRPr="00161FCA" w:rsidRDefault="002655B2" w:rsidP="002655B2">
      <w:pPr>
        <w:spacing w:after="60"/>
        <w:rPr>
          <w:lang w:eastAsia="ko-KR"/>
        </w:rPr>
      </w:pPr>
      <w:r w:rsidRPr="00161FCA">
        <w:rPr>
          <w:lang w:eastAsia="ko-KR"/>
        </w:rPr>
        <w:t xml:space="preserve">[3] </w:t>
      </w:r>
      <w:hyperlink r:id="rId11">
        <w:r w:rsidRPr="00161FCA">
          <w:rPr>
            <w:lang w:eastAsia="ko-KR"/>
          </w:rPr>
          <w:t>S2-2313155</w:t>
        </w:r>
      </w:hyperlink>
      <w:r w:rsidRPr="00161FCA">
        <w:rPr>
          <w:lang w:eastAsia="ko-KR"/>
        </w:rPr>
        <w:t>, “</w:t>
      </w:r>
      <w:r w:rsidR="00161FCA" w:rsidRPr="00161FCA">
        <w:rPr>
          <w:lang w:eastAsia="ko-KR"/>
        </w:rPr>
        <w:t>Discussion on a reference framework for S&amp;F for IoT NTN</w:t>
      </w:r>
      <w:r w:rsidR="00161FCA" w:rsidRPr="00161FCA">
        <w:rPr>
          <w:lang w:eastAsia="ko-KR"/>
        </w:rPr>
        <w:t>”</w:t>
      </w:r>
    </w:p>
    <w:p w14:paraId="61715777" w14:textId="715C85EC" w:rsidR="002655B2" w:rsidRPr="00161FCA" w:rsidRDefault="002655B2" w:rsidP="002655B2">
      <w:pPr>
        <w:spacing w:after="60"/>
        <w:rPr>
          <w:lang w:eastAsia="ko-KR"/>
        </w:rPr>
      </w:pPr>
      <w:r w:rsidRPr="00161FCA">
        <w:rPr>
          <w:lang w:eastAsia="ko-KR"/>
        </w:rPr>
        <w:t xml:space="preserve">[4] </w:t>
      </w:r>
      <w:hyperlink r:id="rId12" w:history="1">
        <w:r w:rsidRPr="00161FCA">
          <w:rPr>
            <w:lang w:eastAsia="ko-KR"/>
          </w:rPr>
          <w:t>R2-2301</w:t>
        </w:r>
        <w:r w:rsidRPr="00161FCA">
          <w:rPr>
            <w:lang w:eastAsia="ko-KR"/>
          </w:rPr>
          <w:t>8</w:t>
        </w:r>
        <w:r w:rsidRPr="00161FCA">
          <w:rPr>
            <w:lang w:eastAsia="ko-KR"/>
          </w:rPr>
          <w:t>86</w:t>
        </w:r>
      </w:hyperlink>
      <w:r w:rsidRPr="00161FCA">
        <w:rPr>
          <w:lang w:eastAsia="ko-KR"/>
        </w:rPr>
        <w:t xml:space="preserve">, “Complementing discontinuous coverage with minimum support for discontinuous feeder link operation”, </w:t>
      </w:r>
      <w:proofErr w:type="spellStart"/>
      <w:r w:rsidRPr="00161FCA">
        <w:rPr>
          <w:lang w:eastAsia="ko-KR"/>
        </w:rPr>
        <w:t>Sateliot</w:t>
      </w:r>
      <w:proofErr w:type="spellEnd"/>
      <w:r w:rsidRPr="00161FCA">
        <w:rPr>
          <w:lang w:eastAsia="ko-KR"/>
        </w:rPr>
        <w:t xml:space="preserve">, </w:t>
      </w:r>
      <w:proofErr w:type="spellStart"/>
      <w:r w:rsidRPr="00161FCA">
        <w:rPr>
          <w:lang w:eastAsia="ko-KR"/>
        </w:rPr>
        <w:t>GateHouse</w:t>
      </w:r>
      <w:proofErr w:type="spellEnd"/>
      <w:r w:rsidRPr="00161FCA">
        <w:rPr>
          <w:lang w:eastAsia="ko-KR"/>
        </w:rPr>
        <w:t xml:space="preserve">, </w:t>
      </w:r>
      <w:proofErr w:type="spellStart"/>
      <w:r w:rsidRPr="00161FCA">
        <w:rPr>
          <w:lang w:eastAsia="ko-KR"/>
        </w:rPr>
        <w:t>Novamint</w:t>
      </w:r>
      <w:proofErr w:type="spellEnd"/>
      <w:r w:rsidRPr="00161FCA">
        <w:rPr>
          <w:lang w:eastAsia="ko-KR"/>
        </w:rPr>
        <w:t xml:space="preserve">, Intelsat, Airbus, </w:t>
      </w:r>
      <w:proofErr w:type="spellStart"/>
      <w:r w:rsidRPr="00161FCA">
        <w:rPr>
          <w:lang w:eastAsia="ko-KR"/>
        </w:rPr>
        <w:t>Hispasat</w:t>
      </w:r>
      <w:proofErr w:type="spellEnd"/>
      <w:r w:rsidRPr="00161FCA">
        <w:rPr>
          <w:lang w:eastAsia="ko-KR"/>
        </w:rPr>
        <w:t>, ESA, TNO, 3GPP TSG-RAN WG2 Meeting #121-e, February 27th – March 3rd, 2023</w:t>
      </w:r>
    </w:p>
    <w:p w14:paraId="480E628D" w14:textId="77777777" w:rsidR="00B43C2A" w:rsidRDefault="00B43C2A" w:rsidP="00B43C2A"/>
    <w:sectPr w:rsidR="00B43C2A">
      <w:headerReference w:type="even" r:id="rId13"/>
      <w:footerReference w:type="default" r:id="rId14"/>
      <w:pgSz w:w="11906" w:h="16838"/>
      <w:pgMar w:top="1134" w:right="1134" w:bottom="1134" w:left="1134" w:header="73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F948E" w14:textId="77777777" w:rsidR="004F6870" w:rsidRDefault="004F6870">
      <w:pPr>
        <w:spacing w:after="0"/>
      </w:pPr>
      <w:r>
        <w:separator/>
      </w:r>
    </w:p>
  </w:endnote>
  <w:endnote w:type="continuationSeparator" w:id="0">
    <w:p w14:paraId="72963F7E" w14:textId="77777777" w:rsidR="004F6870" w:rsidRDefault="004F68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8633C" w14:textId="77777777" w:rsidR="00CC6B01" w:rsidRDefault="0038592D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</w:pPr>
    <w:r>
      <w:fldChar w:fldCharType="begin"/>
    </w:r>
    <w:r>
      <w:instrText>PAGE</w:instrText>
    </w:r>
    <w:r>
      <w:fldChar w:fldCharType="separate"/>
    </w:r>
    <w:r w:rsidR="004E4727">
      <w:rPr>
        <w:noProof/>
      </w:rPr>
      <w:t>1</w:t>
    </w:r>
    <w:r>
      <w:fldChar w:fldCharType="end"/>
    </w:r>
  </w:p>
  <w:p w14:paraId="42C3C472" w14:textId="77777777" w:rsidR="00CC6B01" w:rsidRDefault="00CC6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3731A" w14:textId="77777777" w:rsidR="004F6870" w:rsidRDefault="004F6870">
      <w:pPr>
        <w:spacing w:after="0"/>
      </w:pPr>
      <w:r>
        <w:separator/>
      </w:r>
    </w:p>
  </w:footnote>
  <w:footnote w:type="continuationSeparator" w:id="0">
    <w:p w14:paraId="7D1163B7" w14:textId="77777777" w:rsidR="004F6870" w:rsidRDefault="004F68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772B7" w14:textId="77777777" w:rsidR="00CC6B01" w:rsidRDefault="00CC6B01"/>
  <w:p w14:paraId="3608A143" w14:textId="77777777" w:rsidR="00CC6B01" w:rsidRDefault="00CC6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6A85"/>
    <w:multiLevelType w:val="multilevel"/>
    <w:tmpl w:val="5C56B1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4501BFF"/>
    <w:multiLevelType w:val="multilevel"/>
    <w:tmpl w:val="661A5A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7D0565F"/>
    <w:multiLevelType w:val="hybridMultilevel"/>
    <w:tmpl w:val="33327C62"/>
    <w:lvl w:ilvl="0" w:tplc="FFFFFFFF">
      <w:numFmt w:val="decimalZero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A44A3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EDC4965"/>
    <w:multiLevelType w:val="hybridMultilevel"/>
    <w:tmpl w:val="BC22DD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84D26"/>
    <w:multiLevelType w:val="multilevel"/>
    <w:tmpl w:val="C5D059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5C26113"/>
    <w:multiLevelType w:val="multilevel"/>
    <w:tmpl w:val="A454C7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FB762DE"/>
    <w:multiLevelType w:val="hybridMultilevel"/>
    <w:tmpl w:val="52FAD7BA"/>
    <w:lvl w:ilvl="0" w:tplc="B2E6C08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372BD"/>
    <w:multiLevelType w:val="multilevel"/>
    <w:tmpl w:val="2CB0A4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CC71BB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5787BD8"/>
    <w:multiLevelType w:val="multilevel"/>
    <w:tmpl w:val="A2B6B458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decimal"/>
      <w:lvlText w:val="%1.%2.%3.%4."/>
      <w:lvlJc w:val="left"/>
      <w:pPr>
        <w:ind w:left="1134" w:hanging="1134"/>
      </w:pPr>
    </w:lvl>
    <w:lvl w:ilvl="4">
      <w:start w:val="1"/>
      <w:numFmt w:val="decimal"/>
      <w:lvlText w:val="%1.%2.%3.%4.%5."/>
      <w:lvlJc w:val="left"/>
      <w:pPr>
        <w:ind w:left="1134" w:hanging="1134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134" w:hanging="1134"/>
      </w:pPr>
    </w:lvl>
    <w:lvl w:ilvl="7">
      <w:start w:val="1"/>
      <w:numFmt w:val="decimal"/>
      <w:lvlText w:val="%1.%2.%3.%4.%5.%6.%7.%8."/>
      <w:lvlJc w:val="left"/>
      <w:pPr>
        <w:ind w:left="1134" w:hanging="1134"/>
      </w:pPr>
    </w:lvl>
    <w:lvl w:ilvl="8">
      <w:start w:val="1"/>
      <w:numFmt w:val="decimal"/>
      <w:lvlText w:val="%1.%2.%3.%4.%5.%6.%7.%8.%9."/>
      <w:lvlJc w:val="left"/>
      <w:pPr>
        <w:ind w:left="1134" w:hanging="1134"/>
      </w:pPr>
    </w:lvl>
  </w:abstractNum>
  <w:abstractNum w:abstractNumId="11" w15:restartNumberingAfterBreak="0">
    <w:nsid w:val="4D615518"/>
    <w:multiLevelType w:val="hybridMultilevel"/>
    <w:tmpl w:val="33327C62"/>
    <w:lvl w:ilvl="0" w:tplc="C25E296A">
      <w:numFmt w:val="decimalZero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9D2B54"/>
    <w:multiLevelType w:val="multilevel"/>
    <w:tmpl w:val="F8C8B7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05665B9"/>
    <w:multiLevelType w:val="multilevel"/>
    <w:tmpl w:val="8E3C18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31A7DF3"/>
    <w:multiLevelType w:val="multilevel"/>
    <w:tmpl w:val="3EF00BB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788C5A64"/>
    <w:multiLevelType w:val="hybridMultilevel"/>
    <w:tmpl w:val="E2765560"/>
    <w:lvl w:ilvl="0" w:tplc="C25E296A">
      <w:numFmt w:val="decimalZero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00E69"/>
    <w:multiLevelType w:val="multilevel"/>
    <w:tmpl w:val="0AF0FB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D3F1AC4"/>
    <w:multiLevelType w:val="hybridMultilevel"/>
    <w:tmpl w:val="26F25CFA"/>
    <w:lvl w:ilvl="0" w:tplc="46CA346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FD97634"/>
    <w:multiLevelType w:val="multilevel"/>
    <w:tmpl w:val="011606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0"/>
  </w:num>
  <w:num w:numId="2">
    <w:abstractNumId w:val="1"/>
  </w:num>
  <w:num w:numId="3">
    <w:abstractNumId w:val="14"/>
  </w:num>
  <w:num w:numId="4">
    <w:abstractNumId w:val="15"/>
  </w:num>
  <w:num w:numId="5">
    <w:abstractNumId w:val="8"/>
  </w:num>
  <w:num w:numId="6">
    <w:abstractNumId w:val="19"/>
  </w:num>
  <w:num w:numId="7">
    <w:abstractNumId w:val="9"/>
  </w:num>
  <w:num w:numId="8">
    <w:abstractNumId w:val="3"/>
  </w:num>
  <w:num w:numId="9">
    <w:abstractNumId w:val="13"/>
  </w:num>
  <w:num w:numId="10">
    <w:abstractNumId w:val="17"/>
  </w:num>
  <w:num w:numId="11">
    <w:abstractNumId w:val="6"/>
  </w:num>
  <w:num w:numId="12">
    <w:abstractNumId w:val="0"/>
  </w:num>
  <w:num w:numId="13">
    <w:abstractNumId w:val="5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7"/>
  </w:num>
  <w:num w:numId="17">
    <w:abstractNumId w:val="11"/>
  </w:num>
  <w:num w:numId="18">
    <w:abstractNumId w:val="16"/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B01"/>
    <w:rsid w:val="0001152F"/>
    <w:rsid w:val="00026323"/>
    <w:rsid w:val="00125A2A"/>
    <w:rsid w:val="00161FCA"/>
    <w:rsid w:val="00162EEE"/>
    <w:rsid w:val="001F7126"/>
    <w:rsid w:val="002446BA"/>
    <w:rsid w:val="002655B2"/>
    <w:rsid w:val="002704E3"/>
    <w:rsid w:val="002B6BB2"/>
    <w:rsid w:val="002B6F8F"/>
    <w:rsid w:val="002C69CB"/>
    <w:rsid w:val="002E1B08"/>
    <w:rsid w:val="00365EAD"/>
    <w:rsid w:val="0038592D"/>
    <w:rsid w:val="003D5B48"/>
    <w:rsid w:val="003F59C6"/>
    <w:rsid w:val="00437A0E"/>
    <w:rsid w:val="00461AE4"/>
    <w:rsid w:val="004665DE"/>
    <w:rsid w:val="004670BB"/>
    <w:rsid w:val="004E4727"/>
    <w:rsid w:val="004F6870"/>
    <w:rsid w:val="00552BF2"/>
    <w:rsid w:val="00573C63"/>
    <w:rsid w:val="0058528C"/>
    <w:rsid w:val="005946E1"/>
    <w:rsid w:val="005E42BF"/>
    <w:rsid w:val="006120FE"/>
    <w:rsid w:val="006147BA"/>
    <w:rsid w:val="006401A7"/>
    <w:rsid w:val="006408B6"/>
    <w:rsid w:val="00641633"/>
    <w:rsid w:val="00677F77"/>
    <w:rsid w:val="006A6766"/>
    <w:rsid w:val="006F22D0"/>
    <w:rsid w:val="00730745"/>
    <w:rsid w:val="00791BC9"/>
    <w:rsid w:val="007E463A"/>
    <w:rsid w:val="008662F2"/>
    <w:rsid w:val="008C66EA"/>
    <w:rsid w:val="00936CCE"/>
    <w:rsid w:val="00A23CD6"/>
    <w:rsid w:val="00A5524D"/>
    <w:rsid w:val="00A674F6"/>
    <w:rsid w:val="00AC633F"/>
    <w:rsid w:val="00B37DFC"/>
    <w:rsid w:val="00B43C2A"/>
    <w:rsid w:val="00C0144F"/>
    <w:rsid w:val="00CC6B01"/>
    <w:rsid w:val="00D848AD"/>
    <w:rsid w:val="00DA69C9"/>
    <w:rsid w:val="00DE54C6"/>
    <w:rsid w:val="00E0684C"/>
    <w:rsid w:val="00F656ED"/>
    <w:rsid w:val="00F7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40C75"/>
  <w15:docId w15:val="{6247BFBA-23DB-4C43-AFE8-8352BAF2B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s-E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552BF2"/>
    <w:pPr>
      <w:spacing w:after="0"/>
    </w:pPr>
  </w:style>
  <w:style w:type="paragraph" w:customStyle="1" w:styleId="NO">
    <w:name w:val="NO"/>
    <w:basedOn w:val="Normal"/>
    <w:link w:val="NOChar"/>
    <w:qFormat/>
    <w:rsid w:val="00936CC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rsid w:val="00936CCE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36CCE"/>
    <w:rPr>
      <w:color w:val="FF0000"/>
    </w:rPr>
  </w:style>
  <w:style w:type="character" w:customStyle="1" w:styleId="EditorsNoteChar">
    <w:name w:val="Editor's Note Char"/>
    <w:link w:val="EditorsNote"/>
    <w:locked/>
    <w:rsid w:val="00936CCE"/>
    <w:rPr>
      <w:color w:val="FF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54C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4C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DE54C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7A0E"/>
    <w:pPr>
      <w:ind w:left="720"/>
      <w:contextualSpacing/>
    </w:pPr>
  </w:style>
  <w:style w:type="character" w:customStyle="1" w:styleId="B1Char">
    <w:name w:val="B1 Char"/>
    <w:link w:val="B1"/>
    <w:qFormat/>
    <w:locked/>
    <w:rsid w:val="00437A0E"/>
    <w:rPr>
      <w:lang w:eastAsia="en-US"/>
    </w:rPr>
  </w:style>
  <w:style w:type="paragraph" w:customStyle="1" w:styleId="B1">
    <w:name w:val="B1"/>
    <w:basedOn w:val="Normal"/>
    <w:link w:val="B1Char"/>
    <w:qFormat/>
    <w:rsid w:val="00437A0E"/>
    <w:pPr>
      <w:ind w:left="568" w:hanging="284"/>
    </w:pPr>
    <w:rPr>
      <w:lang w:eastAsia="en-US"/>
    </w:rPr>
  </w:style>
  <w:style w:type="character" w:customStyle="1" w:styleId="TFChar">
    <w:name w:val="TF Char"/>
    <w:link w:val="TF"/>
    <w:locked/>
    <w:rsid w:val="002B6BB2"/>
    <w:rPr>
      <w:rFonts w:ascii="Arial" w:hAnsi="Arial" w:cs="Arial"/>
      <w:b/>
      <w:color w:val="000000"/>
      <w:lang w:eastAsia="ja-JP"/>
    </w:rPr>
  </w:style>
  <w:style w:type="paragraph" w:customStyle="1" w:styleId="TF">
    <w:name w:val="TF"/>
    <w:aliases w:val="left"/>
    <w:basedOn w:val="Normal"/>
    <w:link w:val="TFChar"/>
    <w:qFormat/>
    <w:rsid w:val="002B6BB2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hAnsi="Arial" w:cs="Arial"/>
      <w:b/>
      <w:color w:val="000000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semiHidden/>
    <w:locked/>
    <w:rsid w:val="00B43C2A"/>
    <w:rPr>
      <w:rFonts w:ascii="Arial" w:hAnsi="Arial" w:cs="Arial"/>
      <w:b/>
      <w:noProof/>
      <w:sz w:val="18"/>
      <w:lang w:eastAsia="ja-JP"/>
    </w:rPr>
  </w:style>
  <w:style w:type="paragraph" w:styleId="Header">
    <w:name w:val="header"/>
    <w:aliases w:val="header odd"/>
    <w:link w:val="HeaderChar"/>
    <w:semiHidden/>
    <w:unhideWhenUsed/>
    <w:rsid w:val="00B43C2A"/>
    <w:pPr>
      <w:widowControl w:val="0"/>
      <w:overflowPunct w:val="0"/>
      <w:autoSpaceDE w:val="0"/>
      <w:autoSpaceDN w:val="0"/>
      <w:adjustRightInd w:val="0"/>
      <w:spacing w:after="0"/>
    </w:pPr>
    <w:rPr>
      <w:rFonts w:ascii="Arial" w:hAnsi="Arial" w:cs="Arial"/>
      <w:b/>
      <w:noProof/>
      <w:sz w:val="18"/>
      <w:lang w:eastAsia="ja-JP"/>
    </w:rPr>
  </w:style>
  <w:style w:type="character" w:customStyle="1" w:styleId="HeaderChar1">
    <w:name w:val="Header Char1"/>
    <w:basedOn w:val="DefaultParagraphFont"/>
    <w:uiPriority w:val="99"/>
    <w:semiHidden/>
    <w:rsid w:val="00B43C2A"/>
  </w:style>
  <w:style w:type="character" w:customStyle="1" w:styleId="CRCoverPageZchn">
    <w:name w:val="CR Cover Page Zchn"/>
    <w:link w:val="CRCoverPage"/>
    <w:qFormat/>
    <w:locked/>
    <w:rsid w:val="00B43C2A"/>
    <w:rPr>
      <w:rFonts w:ascii="Arial" w:eastAsia="MS Mincho" w:hAnsi="Arial" w:cs="Arial"/>
      <w:lang w:eastAsia="en-US"/>
    </w:rPr>
  </w:style>
  <w:style w:type="paragraph" w:customStyle="1" w:styleId="CRCoverPage">
    <w:name w:val="CR Cover Page"/>
    <w:link w:val="CRCoverPageZchn"/>
    <w:qFormat/>
    <w:rsid w:val="00B43C2A"/>
    <w:pPr>
      <w:spacing w:after="120"/>
    </w:pPr>
    <w:rPr>
      <w:rFonts w:ascii="Arial" w:eastAsia="MS Mincho" w:hAnsi="Arial" w:cs="Arial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2655B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655B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60_Chicago_2023-11/Docs/S2-2313155.zip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WG2_RL2/TSGR2_121/Docs/R2-2301886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60_Chicago_2023-11/Docs/S2-2313155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RAN/WG2_RL2/TSGR2_121/Docs/R2-2301886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1aEMFGpkP/gzAT6l7Eveno50cg==">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729</Words>
  <Characters>4014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Stojanovski, Saso</dc:creator>
  <cp:lastModifiedBy>Ramon Ferrús</cp:lastModifiedBy>
  <cp:revision>12</cp:revision>
  <dcterms:created xsi:type="dcterms:W3CDTF">2024-01-30T12:28:00Z</dcterms:created>
  <dcterms:modified xsi:type="dcterms:W3CDTF">2024-04-05T09:27:00Z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(3)9g7Z5eFRLdIZbAE5e/tgIucLmpNKf8oGz97ZS0wl/t76j/JTZnKcjLXxb3Noy7oKv1GTWnE1SrUz4o51IuWxETmA4u6n8zE3yLDIyE9C+gjopq5QyZxr4WCZG50Kj95xzG8k1a7Silbw6TyqiZzcD3Eq056wRpA4OI1QL9ioLH2fzIt0YwwqvhM6zJoHrdcp62epom87nRWNOaPNT5D0VXAFVCruuD/Dsd6XOOE865</vt:lpwstr>
  </property>
  <property fmtid="{D5CDD505-2E9C-101B-9397-08002B2CF9AE}" pid="3" name="_dlc_DocId">
    <vt:lpwstr>H4P5ACNAWDMP-2-9824</vt:lpwstr>
  </property>
  <property fmtid="{D5CDD505-2E9C-101B-9397-08002B2CF9AE}" pid="4" name="display_urn:schemas-microsoft-com:office:office#Owner">
    <vt:lpwstr>Zisimopoulos, Haris</vt:lpwstr>
  </property>
  <property fmtid="{D5CDD505-2E9C-101B-9397-08002B2CF9AE}" pid="5" name="_change">
    <vt:lpwstr>_change</vt:lpwstr>
  </property>
  <property fmtid="{D5CDD505-2E9C-101B-9397-08002B2CF9AE}" pid="6" name="_2015_ms_pID_7253431">
    <vt:lpwstr>U7hKACSy4G1NnaJc3rBmeSvbVxhXvCGuvhMYLCb8qT58UfCbMIufiPdrythSRTmaHydFxaKPfyvqroSYRnVt+XM2/KhOrOlP5cBKAUFlnRbyG6BFEAjp2VbCQEIL88rRZCr/pPfGLQn8Pbe7hcjzooN8Hp2HRncu4Mi4tROZPyb+u1cDkw9Oho3VExqOP4+D35Zn2QOe7Z+O9kbFfifkEdVfZY2+0uddZ2iOuZdp/I</vt:lpwstr>
  </property>
  <property fmtid="{D5CDD505-2E9C-101B-9397-08002B2CF9AE}" pid="7" name="_dlc_DocIdItemGuid">
    <vt:lpwstr>07d328bc-5442-464f-a166-f0af04efba08</vt:lpwstr>
  </property>
  <property fmtid="{D5CDD505-2E9C-101B-9397-08002B2CF9AE}" pid="8" name="Links">
    <vt:lpwstr>Links</vt:lpwstr>
  </property>
  <property fmtid="{D5CDD505-2E9C-101B-9397-08002B2CF9AE}" pid="9" name="_2015_ms_pID_7253432">
    <vt:lpwstr>inhCRH3raPeQkA5Yt5Yz1hs=</vt:lpwstr>
  </property>
  <property fmtid="{D5CDD505-2E9C-101B-9397-08002B2CF9AE}" pid="10" name="_readonly">
    <vt:lpwstr>_readonly</vt:lpwstr>
  </property>
  <property fmtid="{D5CDD505-2E9C-101B-9397-08002B2CF9AE}" pid="11" name="sflag">
    <vt:lpwstr>1594296984</vt:lpwstr>
  </property>
  <property fmtid="{D5CDD505-2E9C-101B-9397-08002B2CF9AE}" pid="12" name="_dlc_DocIdUrl">
    <vt:lpwstr>https://projects.qualcomm.com/sites/LTED/_layouts/15/DocIdRedir.aspx?ID=H4P5ACNAWDMP-2-9824, H4P5ACNAWDMP-2-9824</vt:lpwstr>
  </property>
  <property fmtid="{D5CDD505-2E9C-101B-9397-08002B2CF9AE}" pid="13" name="_full-control">
    <vt:lpwstr>_full-control</vt:lpwstr>
  </property>
</Properties>
</file>